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line="360" w:lineRule="auto"/>
        <w:tabs>
          <w:tab w:val="left" w:pos="993" w:leader="none"/>
        </w:tabs>
        <w:rPr>
          <w:b/>
        </w:rPr>
      </w:pPr>
      <w:r>
        <w:rPr>
          <w:b/>
        </w:rPr>
        <w:t xml:space="preserve">Л</w:t>
      </w:r>
      <w:r>
        <w:rPr>
          <w:b/>
        </w:rPr>
        <w:t xml:space="preserve">ицензионное соглашение с конечным пользователем</w:t>
      </w:r>
      <w:r/>
    </w:p>
    <w:p>
      <w:pPr>
        <w:ind w:firstLine="709"/>
        <w:spacing w:line="360" w:lineRule="auto"/>
        <w:tabs>
          <w:tab w:val="left" w:pos="993" w:leader="none"/>
        </w:tabs>
      </w:pPr>
      <w:r>
        <w:t xml:space="preserve">                                             </w:t>
      </w:r>
      <w:r/>
    </w:p>
    <w:p>
      <w:pPr>
        <w:jc w:val="both"/>
        <w:spacing w:line="360" w:lineRule="auto"/>
        <w:tabs>
          <w:tab w:val="left" w:pos="993" w:leader="none"/>
        </w:tabs>
      </w:pPr>
      <w:r>
        <w:t xml:space="preserve">Настоящее лицензионное</w:t>
      </w:r>
      <w:r>
        <w:t xml:space="preserve"> </w:t>
      </w:r>
      <w:r>
        <w:t xml:space="preserve">соглашение</w:t>
      </w:r>
      <w:r>
        <w:t xml:space="preserve"> (далее – Соглашение)</w:t>
      </w:r>
      <w:r>
        <w:t xml:space="preserve"> с конечным пользователем</w:t>
      </w:r>
      <w:r>
        <w:t xml:space="preserve"> (далее – Пользователь, вы, вам)</w:t>
      </w:r>
      <w:r>
        <w:t xml:space="preserve"> о предоставлении простой (неисключительной) </w:t>
      </w:r>
      <w:r>
        <w:t xml:space="preserve">лицензии </w:t>
      </w:r>
      <w:r>
        <w:t xml:space="preserve">регулирует порядок использования любого программного обеспечения</w:t>
      </w:r>
      <w:r>
        <w:t xml:space="preserve"> (далее</w:t>
      </w:r>
      <w:r>
        <w:t xml:space="preserve"> </w:t>
      </w:r>
      <w:r>
        <w:t xml:space="preserve">– Продукт)</w:t>
      </w:r>
      <w:r>
        <w:t xml:space="preserve">, правообладателем которого является ООО ФИРМА «ПАЛИТРА СИСТЕМ» ОГРН: 1027700502720, дата присвоения ОГРН: 06.12.2002, ИНН: 7718053570 (далее</w:t>
      </w:r>
      <w:r>
        <w:t xml:space="preserve"> </w:t>
      </w:r>
      <w:r>
        <w:t xml:space="preserve">– </w:t>
      </w:r>
      <w:r>
        <w:t xml:space="preserve">ПРАВООБЛАДАТЕЛЬ</w:t>
      </w:r>
      <w:r>
        <w:t xml:space="preserve">), включая, но не ограничиваясь следующими продуктами:</w:t>
      </w:r>
      <w:r/>
    </w:p>
    <w:p>
      <w:pPr>
        <w:jc w:val="both"/>
        <w:spacing w:line="360" w:lineRule="auto"/>
        <w:tabs>
          <w:tab w:val="left" w:pos="993" w:leader="none"/>
        </w:tabs>
      </w:pPr>
      <w:r>
        <w:t xml:space="preserve">-</w:t>
      </w:r>
      <w:r>
        <w:t xml:space="preserve">программный комплекс </w:t>
      </w:r>
      <w:r>
        <w:t xml:space="preserve">АСУ МС </w:t>
      </w:r>
      <w:r>
        <w:t xml:space="preserve">версия 7 – «А</w:t>
      </w:r>
      <w:r>
        <w:t xml:space="preserve">втоматизированная система управления метрологической службой</w:t>
      </w:r>
      <w:r>
        <w:t xml:space="preserve">» версия 7 (свидетельство о гос. регистрации № 2020662576);</w:t>
      </w:r>
      <w:r/>
    </w:p>
    <w:p>
      <w:pPr>
        <w:jc w:val="both"/>
        <w:spacing w:line="360" w:lineRule="auto"/>
        <w:tabs>
          <w:tab w:val="left" w:pos="993" w:leader="none"/>
        </w:tabs>
      </w:pPr>
      <w:r>
        <w:t xml:space="preserve">-</w:t>
      </w:r>
      <w:r>
        <w:t xml:space="preserve">ЦАРМ МС версия 7 </w:t>
      </w:r>
      <w:r>
        <w:t xml:space="preserve">«Центральное автоматизированное рабочее место ме</w:t>
      </w:r>
      <w:r>
        <w:t xml:space="preserve">трологической службы» версии 7 (свидетельство о гос. регистрации № 2019618600);</w:t>
      </w:r>
      <w:r/>
    </w:p>
    <w:p>
      <w:pPr>
        <w:jc w:val="both"/>
        <w:spacing w:line="360" w:lineRule="auto"/>
        <w:tabs>
          <w:tab w:val="left" w:pos="993" w:leader="none"/>
        </w:tabs>
      </w:pPr>
      <w:r>
        <w:t xml:space="preserve">-мобильное приложение «Метролог Онлайн» (свидетельство о гос. регистрации № 2019618599)</w:t>
      </w:r>
      <w:r>
        <w:t xml:space="preserve">;</w:t>
      </w:r>
      <w:r/>
    </w:p>
    <w:p>
      <w:pPr>
        <w:jc w:val="both"/>
        <w:spacing w:line="360" w:lineRule="auto"/>
        <w:tabs>
          <w:tab w:val="left" w:pos="993" w:leader="none"/>
        </w:tabs>
      </w:pPr>
      <w:r>
        <w:t xml:space="preserve">-любой иной программный продукт</w:t>
      </w:r>
      <w:r>
        <w:t xml:space="preserve"> ПРАВООБЛАДАТЕЛЯ</w:t>
      </w:r>
      <w:r>
        <w:t xml:space="preserve">, который </w:t>
      </w:r>
      <w:r>
        <w:t xml:space="preserve">вы</w:t>
      </w:r>
      <w:r>
        <w:t xml:space="preserve"> инсталлирует</w:t>
      </w:r>
      <w:r>
        <w:t xml:space="preserve">е</w:t>
      </w:r>
      <w:r>
        <w:t xml:space="preserve">, загружает</w:t>
      </w:r>
      <w:r>
        <w:t xml:space="preserve">е</w:t>
      </w:r>
      <w:r>
        <w:t xml:space="preserve"> на свое устройство и (или) персональный компьютер, иным образом использует</w:t>
      </w:r>
      <w:r>
        <w:t xml:space="preserve">е</w:t>
      </w:r>
      <w:r>
        <w:t xml:space="preserve"> в рамках Соглашения.</w:t>
      </w:r>
      <w:r/>
    </w:p>
    <w:p>
      <w:pPr>
        <w:jc w:val="both"/>
        <w:spacing w:line="360" w:lineRule="auto"/>
        <w:tabs>
          <w:tab w:val="left" w:pos="993" w:leader="none"/>
        </w:tabs>
      </w:pPr>
      <w:r/>
      <w:r/>
    </w:p>
    <w:p>
      <w:pPr>
        <w:jc w:val="both"/>
        <w:spacing w:line="360" w:lineRule="auto"/>
        <w:tabs>
          <w:tab w:val="left" w:pos="993" w:leader="none"/>
        </w:tabs>
      </w:pPr>
      <w:r>
        <w:t xml:space="preserve">Соглашение формулирует условия, на которых </w:t>
      </w:r>
      <w:r>
        <w:t xml:space="preserve">ПРАВООБЛАДАТЕЛЬ</w:t>
      </w:r>
      <w:r>
        <w:t xml:space="preserve"> предоставляет </w:t>
      </w:r>
      <w:r>
        <w:t xml:space="preserve">вам Продукт, а также условия его</w:t>
      </w:r>
      <w:r>
        <w:t xml:space="preserve"> использования. Вы подтверждаете полное согласие принять и соблюдать условия </w:t>
      </w:r>
      <w:r>
        <w:t xml:space="preserve">С</w:t>
      </w:r>
      <w:r>
        <w:t xml:space="preserve">оглашения. Если вы не согласны с условиями </w:t>
      </w:r>
      <w:r>
        <w:t xml:space="preserve">Соглашения</w:t>
      </w:r>
      <w:r>
        <w:t xml:space="preserve">, пожалуйста, не устанавливайте и не используйте Продукт.</w:t>
      </w:r>
      <w:r/>
    </w:p>
    <w:p>
      <w:pPr>
        <w:jc w:val="both"/>
        <w:spacing w:line="360" w:lineRule="auto"/>
        <w:tabs>
          <w:tab w:val="left" w:pos="993" w:leader="none"/>
        </w:tabs>
      </w:pPr>
      <w:r/>
      <w:r/>
    </w:p>
    <w:p>
      <w:pPr>
        <w:jc w:val="both"/>
        <w:spacing w:line="360" w:lineRule="auto"/>
        <w:tabs>
          <w:tab w:val="left" w:pos="993" w:leader="none"/>
        </w:tabs>
      </w:pPr>
      <w:r>
        <w:t xml:space="preserve">ПРАВООБЛАДАТЕЛЬ</w:t>
      </w:r>
      <w:r>
        <w:t xml:space="preserve"> сохраняет за собой право изменять, модифицировать, добавлять или удалять пункты в </w:t>
      </w:r>
      <w:r>
        <w:t xml:space="preserve">С</w:t>
      </w:r>
      <w:r>
        <w:t xml:space="preserve">оглашении в любое время</w:t>
      </w:r>
      <w:r>
        <w:t xml:space="preserve">.</w:t>
      </w:r>
      <w:r/>
    </w:p>
    <w:p>
      <w:pPr>
        <w:jc w:val="both"/>
        <w:spacing w:line="360" w:lineRule="auto"/>
        <w:tabs>
          <w:tab w:val="left" w:pos="993" w:leader="none"/>
        </w:tabs>
      </w:pPr>
      <w:r/>
      <w:r/>
    </w:p>
    <w:p>
      <w:pPr>
        <w:numPr>
          <w:ilvl w:val="0"/>
          <w:numId w:val="4"/>
        </w:numPr>
        <w:ind w:left="426" w:hanging="426"/>
        <w:jc w:val="both"/>
        <w:spacing w:line="360" w:lineRule="auto"/>
        <w:rPr>
          <w:b/>
        </w:rPr>
      </w:pPr>
      <w:r>
        <w:rPr>
          <w:b/>
        </w:rPr>
        <w:t xml:space="preserve">Л</w:t>
      </w:r>
      <w:r>
        <w:rPr>
          <w:b/>
        </w:rPr>
        <w:t xml:space="preserve">ИЦЕНЗИОННЫЕ УСЛОВИЯ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ПРАВООБЛАДАТЕЛЬ </w:t>
      </w:r>
      <w:r>
        <w:t xml:space="preserve">предоставляет Вам персональную, не</w:t>
      </w:r>
      <w:r>
        <w:t xml:space="preserve"> </w:t>
      </w:r>
      <w:r>
        <w:t xml:space="preserve">сублицензируемую, не подлежащую передаче третьим лицам </w:t>
      </w:r>
      <w:r>
        <w:t xml:space="preserve">не эксклюзивную</w:t>
      </w:r>
      <w:r>
        <w:t xml:space="preserve"> лицензию на установку и/или использование данного Продукта (в целом или частично) или любого другого Продукта (далее </w:t>
      </w:r>
      <w:r>
        <w:t xml:space="preserve">–</w:t>
      </w:r>
      <w:r>
        <w:t xml:space="preserve"> </w:t>
      </w:r>
      <w:r>
        <w:t xml:space="preserve">Лицензия</w:t>
      </w:r>
      <w:r>
        <w:t xml:space="preserve">) до тех пор, пока Вы или </w:t>
      </w:r>
      <w:r>
        <w:t xml:space="preserve">ПРАВООБЛАДАТЕЛЬ</w:t>
      </w:r>
      <w:r>
        <w:t xml:space="preserve"> не прекратите действие </w:t>
      </w:r>
      <w:r>
        <w:t xml:space="preserve">С</w:t>
      </w:r>
      <w:r>
        <w:t xml:space="preserve">оглашения. </w:t>
      </w:r>
      <w:r/>
    </w:p>
    <w:p>
      <w:pPr>
        <w:ind w:left="855"/>
        <w:jc w:val="both"/>
        <w:spacing w:line="360" w:lineRule="auto"/>
      </w:pPr>
      <w:r>
        <w:t xml:space="preserve">В зависимости от обстоятельств, некоторые части Продукта могут содержать материалы, лицензированные третьей стороной, и могут управляться сторонними компаниями, которые могут потребовать выполнения дополнительных усло</w:t>
      </w:r>
      <w:r>
        <w:t xml:space="preserve">вий </w:t>
      </w:r>
      <w:r>
        <w:t xml:space="preserve">использования и/или оплаты.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Вы не вправе прямо или опосредованно (</w:t>
      </w:r>
      <w:r>
        <w:t xml:space="preserve">1</w:t>
      </w:r>
      <w:r>
        <w:t xml:space="preserve">) продавать, сдавать в аренду или временное пользование, выдавать лицензии, распространять, размещать и продвигать на рынке Продукт или любые его части в коммерческих целях, (</w:t>
      </w:r>
      <w:r>
        <w:t xml:space="preserve">2</w:t>
      </w:r>
      <w:r>
        <w:t xml:space="preserve">) осуществлять обратную разработку, декомпилировать, дизассемблировать, адаптировать, воспроизводить или создавать любые производные произведения, основанные на Продукте, целиком или частично; (</w:t>
      </w:r>
      <w:r>
        <w:t xml:space="preserve">3</w:t>
      </w:r>
      <w:r>
        <w:t xml:space="preserve">) создавать, использовать и/или рас</w:t>
      </w:r>
      <w:r>
        <w:t xml:space="preserve">пространять программные средства или приложения для обхода ограничений к Продукту, например, программы автоматизации использования (боты), обучающие программы, скрипты, макропрограммы, программы для компьютерного взлома (читерские и хакерские программы); (</w:t>
      </w:r>
      <w:r>
        <w:t xml:space="preserve">4</w:t>
      </w:r>
      <w:r>
        <w:t xml:space="preserve">) удалять, изменять, отключать или обходить любые указания с информацией об авторских правах и товарном знаке или другую информацию об авторе и производителе, уведомления или ярлыки, содержащиеся на Продукте или внутри Продукта и (</w:t>
      </w:r>
      <w:r>
        <w:t xml:space="preserve">5</w:t>
      </w:r>
      <w:r>
        <w:t xml:space="preserve">) экспортировать или реэкспортировать Продукт или копии адаптаций, нарушая любые действующие законы или предписания.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В рамках Лицензии вам предоставлено право использовать Продукт в течение всего срока действия исключительного права ПРАВООБЛАДАТЕЛЯ на Продукт.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Использование Продукта возможно только путем воспроизведения, ограниченного запуском и записью в память ЭВМ на территории всех стран мира.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Разрешенными в рамках Лицензии способы использования, следующие:</w:t>
      </w:r>
      <w:r/>
    </w:p>
    <w:p>
      <w:pPr>
        <w:numPr>
          <w:ilvl w:val="2"/>
          <w:numId w:val="4"/>
        </w:numPr>
        <w:ind w:left="1418" w:hanging="567"/>
        <w:jc w:val="both"/>
        <w:spacing w:line="360" w:lineRule="auto"/>
      </w:pPr>
      <w:r>
        <w:t xml:space="preserve">Воспроизведение Продукта посредством записи его копии в память ЭВМ;</w:t>
      </w:r>
      <w:r/>
    </w:p>
    <w:p>
      <w:pPr>
        <w:numPr>
          <w:ilvl w:val="2"/>
          <w:numId w:val="4"/>
        </w:numPr>
        <w:ind w:left="1418" w:hanging="567"/>
        <w:jc w:val="both"/>
        <w:spacing w:line="360" w:lineRule="auto"/>
      </w:pPr>
      <w:r>
        <w:t xml:space="preserve">Использование Продукта строго в соответствии с его прямым назначением; использование Продукта в целях, не предусмотренных его функционалом, а также не в соответствии с его техническим описанием и рекомендациями ПРАВООБЛАДАТ</w:t>
      </w:r>
      <w:r>
        <w:t xml:space="preserve">ЕЛЯ (которые могут быть изложены, в том числе, в документации и (или) иных дополнительных и сопроводительных материалах) признается существенным нарушением Соглашения, дающее право ПРАВООБЛАДАТЕЛЮ расторгнуть Соглашение в одностороннем внесудебном порядке.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Вы можете изготовить не более 2 (двух) копий Продукта при условии, что эти копии предназначены только для архивных целей и (или) для замены правомерно приобретенного дистрибутива Продукта в сл</w:t>
      </w:r>
      <w:r>
        <w:t xml:space="preserve">учаях, когда оригинал утерян, уничтожен или стал непригоден для использования. Указанная в настоящем пункте копия не может быть использована для иных целей и должна быть уничтожена в случае, если владение дистрибутивом Продукта перестанет быть правомерным.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Установка Продукта возможна на неограниченное количество рабочих мест (ПЭВМ) на территории</w:t>
      </w:r>
      <w:r>
        <w:t xml:space="preserve"> Пользователя, при этом программным электронным ключом ограничивается количество одновременных подключений пользователей Продукта, равное количеству приобретенных Лицензий. Программный ключ входит в состав дистрибутива, направляемого в электронном виде или</w:t>
      </w:r>
      <w:r>
        <w:t xml:space="preserve"> </w:t>
      </w:r>
      <w:r>
        <w:t xml:space="preserve">содержится на дистрибутивном компакт-диске. Программный ключ может быть активирован только один раз. Для активации программного ключа требуется ПЭВМ с доступом к сети Интернет. Перенос П</w:t>
      </w:r>
      <w:r>
        <w:t xml:space="preserve">родукта</w:t>
      </w:r>
      <w:r>
        <w:t xml:space="preserve"> с одной ПЭВМ на другую возможен только при условии корректной деактивации ключа на первой ПЭВМ. 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В течение срока действия неисключительной лицензии на использование П</w:t>
      </w:r>
      <w:r>
        <w:t xml:space="preserve">родукта</w:t>
      </w:r>
      <w:r>
        <w:t xml:space="preserve">, а также при условии поддержки П</w:t>
      </w:r>
      <w:r>
        <w:t xml:space="preserve">родукта, ПРАВООБЛАДАТЕЛЕМ</w:t>
      </w:r>
      <w:r>
        <w:t xml:space="preserve"> при помощи сети Интернет и (или) на материальном носителе могут предоставляться обновления программных модулей П</w:t>
      </w:r>
      <w:r>
        <w:t xml:space="preserve">родукта</w:t>
      </w:r>
      <w:r>
        <w:t xml:space="preserve"> в рамках уже установленной на ЭВМ версии П</w:t>
      </w:r>
      <w:r>
        <w:t xml:space="preserve">родукта</w:t>
      </w:r>
      <w:r>
        <w:t xml:space="preserve">. Все обновления П</w:t>
      </w:r>
      <w:r>
        <w:t xml:space="preserve">родукта</w:t>
      </w:r>
      <w:r>
        <w:t xml:space="preserve"> являются его неотъемлемой частью и используются исключительно вместе с П</w:t>
      </w:r>
      <w:r>
        <w:t xml:space="preserve">родуктом </w:t>
      </w:r>
      <w:r>
        <w:t xml:space="preserve">на условиях Соглашения если иные условия не будут установлены </w:t>
      </w:r>
      <w:r>
        <w:t xml:space="preserve">ПРАВООБЛАДАТЕЛЕМ</w:t>
      </w:r>
      <w:r>
        <w:t xml:space="preserve">. В случае предоставления </w:t>
      </w:r>
      <w:r>
        <w:t xml:space="preserve">ПРАВООБЛАДАТЕЛЕМ</w:t>
      </w:r>
      <w:r>
        <w:t xml:space="preserve"> технической поддержки, в течение срока действия </w:t>
      </w:r>
      <w:r>
        <w:t xml:space="preserve">Л</w:t>
      </w:r>
      <w:r>
        <w:t xml:space="preserve">ицензии на использование П</w:t>
      </w:r>
      <w:r>
        <w:t xml:space="preserve">родукта</w:t>
      </w:r>
      <w:r>
        <w:t xml:space="preserve"> Пользователю предоставляется право обращения в службу технической поддержки </w:t>
      </w:r>
      <w:r>
        <w:t xml:space="preserve">ПРАВООБЛАДАТЕЛЯ</w:t>
      </w:r>
      <w:r>
        <w:t xml:space="preserve">, либо лица, имеющего соответствующий договор с </w:t>
      </w:r>
      <w:r>
        <w:t xml:space="preserve">ПРАВООБЛАДАТЕЛЕМ</w:t>
      </w:r>
      <w:r>
        <w:t xml:space="preserve">. 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Количество пользователей, которым разрешено использование П</w:t>
      </w:r>
      <w:r>
        <w:t xml:space="preserve">родукта</w:t>
      </w:r>
      <w:r>
        <w:t xml:space="preserve">, наличие (или отсутствие) технической поддержки, а также иные условия использования П</w:t>
      </w:r>
      <w:r>
        <w:t xml:space="preserve">родукта</w:t>
      </w:r>
      <w:r>
        <w:t xml:space="preserve"> содержатся в договоре </w:t>
      </w:r>
      <w:r>
        <w:t xml:space="preserve">–</w:t>
      </w:r>
      <w:r>
        <w:t xml:space="preserve"> источнике приобретения П</w:t>
      </w:r>
      <w:r>
        <w:t xml:space="preserve">родукта</w:t>
      </w:r>
      <w:r>
        <w:t xml:space="preserve">.  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Используя Продукт, Вы подтверждаете свое согласие соблюдать все действующие законы</w:t>
      </w:r>
      <w:r>
        <w:t xml:space="preserve"> РФ, включая международные соглашения (где применимо)</w:t>
      </w:r>
      <w:r>
        <w:t xml:space="preserve">, правила и предписания. В любом случае, Вы можете использовать Продукт только в соответствии с </w:t>
      </w:r>
      <w:r>
        <w:t xml:space="preserve">Лицензией</w:t>
      </w:r>
      <w:r>
        <w:t xml:space="preserve">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Вы не вправе:</w:t>
      </w:r>
      <w:r/>
    </w:p>
    <w:p>
      <w:pPr>
        <w:numPr>
          <w:ilvl w:val="2"/>
          <w:numId w:val="4"/>
        </w:numPr>
        <w:ind w:left="1560" w:hanging="709"/>
        <w:jc w:val="both"/>
        <w:spacing w:line="360" w:lineRule="auto"/>
      </w:pPr>
      <w:r>
        <w:t xml:space="preserve">С</w:t>
      </w:r>
      <w:r>
        <w:t xml:space="preserve">оздавать, использовать, размещать для совместного использования и/или публиковать любые связанные с Продуктом материалы (тексты, слова, изображения, звуки, видео и др.), если таким образом могут быть нарушены какие-либо обязательст</w:t>
      </w:r>
      <w:r>
        <w:t xml:space="preserve">ва о неразглашении конфиденциальной информации, нарушено право интеллектуальной собственности или право на защиту персональных данных, а также если могут быть спровоцированы действия незаконного характера (в частности, пиратство, взлом или распространение </w:t>
      </w:r>
      <w:r>
        <w:t xml:space="preserve">контрафактных копий программного обеспечения);</w:t>
      </w:r>
      <w:r/>
    </w:p>
    <w:p>
      <w:pPr>
        <w:numPr>
          <w:ilvl w:val="2"/>
          <w:numId w:val="4"/>
        </w:numPr>
        <w:ind w:left="1560" w:hanging="709"/>
        <w:jc w:val="both"/>
        <w:spacing w:line="360" w:lineRule="auto"/>
      </w:pPr>
      <w:r>
        <w:t xml:space="preserve">И</w:t>
      </w:r>
      <w:r>
        <w:t xml:space="preserve">зменять, модифицировать, блокировать</w:t>
      </w:r>
      <w:r>
        <w:t xml:space="preserve">, излишне нагружать, прерывать, </w:t>
      </w:r>
      <w:r>
        <w:t xml:space="preserve">замедлять и/или препятствовать нормальному функционированию части или всего Продукта, или их доступности другим Пользователям, или функционированию партнерских сетей Продукта, или пытаться предпринять что-либо из вышеперечисленных действий;</w:t>
      </w:r>
      <w:r/>
    </w:p>
    <w:p>
      <w:pPr>
        <w:numPr>
          <w:ilvl w:val="2"/>
          <w:numId w:val="4"/>
        </w:numPr>
        <w:ind w:left="1560" w:hanging="709"/>
        <w:jc w:val="both"/>
        <w:spacing w:line="360" w:lineRule="auto"/>
      </w:pPr>
      <w:r>
        <w:t xml:space="preserve">В</w:t>
      </w:r>
      <w:r>
        <w:t xml:space="preserve">водить </w:t>
      </w:r>
      <w:r>
        <w:t xml:space="preserve">или распространять какие-либо вирусные программы, трояны, черви, бомбы, поврежденные файлы и/или иные подобные вредоносные средства или поврежденные данные относящиеся к Продукту, и/или организовывать, участвовать в каком-либо качестве в атаках на серверы </w:t>
      </w:r>
      <w:r>
        <w:t xml:space="preserve">ПРАВООБЛАДАТЕЛ</w:t>
      </w:r>
      <w:r>
        <w:t xml:space="preserve">Я</w:t>
      </w:r>
      <w:r>
        <w:t xml:space="preserve"> и/или Продукта и/или поставщиков услуг и партнеров;</w:t>
      </w:r>
      <w:r/>
    </w:p>
    <w:p>
      <w:pPr>
        <w:numPr>
          <w:ilvl w:val="2"/>
          <w:numId w:val="4"/>
        </w:numPr>
        <w:ind w:left="1560" w:hanging="709"/>
        <w:jc w:val="both"/>
        <w:spacing w:line="360" w:lineRule="auto"/>
      </w:pPr>
      <w:r>
        <w:t xml:space="preserve">С</w:t>
      </w:r>
      <w:r>
        <w:t xml:space="preserve">оздавать, поставлять или применять альтернативные способы использования Продукта, например, эмуляторы серверов;</w:t>
      </w:r>
      <w:r/>
    </w:p>
    <w:p>
      <w:pPr>
        <w:numPr>
          <w:ilvl w:val="2"/>
          <w:numId w:val="4"/>
        </w:numPr>
        <w:ind w:left="1560" w:hanging="709"/>
        <w:jc w:val="both"/>
        <w:spacing w:line="360" w:lineRule="auto"/>
      </w:pPr>
      <w:r>
        <w:t xml:space="preserve">Р</w:t>
      </w:r>
      <w:r>
        <w:t xml:space="preserve">аспространять и/или передавать какие-либо материалы или контент, который на основании единоличного исключительного убеждения может расцениваться </w:t>
      </w:r>
      <w:r>
        <w:t xml:space="preserve">ПРАВООБЛАДАТЕЛ</w:t>
      </w:r>
      <w:r>
        <w:t xml:space="preserve">ЕМ</w:t>
      </w:r>
      <w:r>
        <w:t xml:space="preserve"> как оскорбительный, включая, но не ограничиваясь, угрожающей, злонамеренной, противоправной, оскорбительной, клеветническ</w:t>
      </w:r>
      <w:r>
        <w:t xml:space="preserve">о</w:t>
      </w:r>
      <w:r>
        <w:t xml:space="preserve">й, пренебрежительной, непристойной, вульгарной, сексуальной, расово или </w:t>
      </w:r>
      <w:r>
        <w:t xml:space="preserve">этнически,</w:t>
      </w:r>
      <w:r>
        <w:t xml:space="preserve"> или другим образом предосудительной речью;</w:t>
      </w:r>
      <w:r/>
    </w:p>
    <w:p>
      <w:pPr>
        <w:numPr>
          <w:ilvl w:val="2"/>
          <w:numId w:val="4"/>
        </w:numPr>
        <w:ind w:left="1560" w:hanging="709"/>
        <w:jc w:val="both"/>
        <w:spacing w:line="360" w:lineRule="auto"/>
      </w:pPr>
      <w:r>
        <w:t xml:space="preserve">В</w:t>
      </w:r>
      <w:r>
        <w:t xml:space="preserve">ыдавать себя за сотрудника или представителя </w:t>
      </w:r>
      <w:r>
        <w:t xml:space="preserve">ПРАВООБЛАДАТЕЛ</w:t>
      </w:r>
      <w:r>
        <w:t xml:space="preserve">Я</w:t>
      </w:r>
      <w:r>
        <w:t xml:space="preserve">, </w:t>
      </w:r>
      <w:r>
        <w:t xml:space="preserve">его</w:t>
      </w:r>
      <w:r>
        <w:t xml:space="preserve"> партнеров и/или агентов;</w:t>
      </w:r>
      <w:r/>
    </w:p>
    <w:p>
      <w:pPr>
        <w:jc w:val="both"/>
        <w:spacing w:line="360" w:lineRule="auto"/>
        <w:tabs>
          <w:tab w:val="left" w:pos="993" w:leader="none"/>
        </w:tabs>
      </w:pPr>
      <w:r/>
      <w:r/>
    </w:p>
    <w:p>
      <w:pPr>
        <w:numPr>
          <w:ilvl w:val="0"/>
          <w:numId w:val="4"/>
        </w:numPr>
        <w:ind w:left="426" w:hanging="426"/>
        <w:jc w:val="both"/>
        <w:spacing w:line="360" w:lineRule="auto"/>
        <w:rPr>
          <w:b/>
        </w:rPr>
      </w:pPr>
      <w:r>
        <w:rPr>
          <w:b/>
        </w:rPr>
        <w:t xml:space="preserve">ПРАВО </w:t>
      </w:r>
      <w:r>
        <w:rPr>
          <w:b/>
        </w:rPr>
        <w:t xml:space="preserve">ДОСТУП</w:t>
      </w:r>
      <w:r>
        <w:rPr>
          <w:b/>
        </w:rPr>
        <w:t xml:space="preserve">А</w:t>
      </w:r>
      <w:r>
        <w:rPr>
          <w:b/>
        </w:rPr>
        <w:t xml:space="preserve"> К ПРОДУКТУ</w:t>
      </w:r>
      <w:r/>
    </w:p>
    <w:p>
      <w:pPr>
        <w:numPr>
          <w:ilvl w:val="1"/>
          <w:numId w:val="4"/>
        </w:numPr>
        <w:ind w:hanging="429"/>
        <w:jc w:val="both"/>
        <w:spacing w:line="360" w:lineRule="auto"/>
      </w:pPr>
      <w:r>
        <w:t xml:space="preserve">Продукт может быть защищен программными техническими средствами защиты авторских прав в отношении цифровых носителей информации</w:t>
      </w:r>
      <w:r>
        <w:t xml:space="preserve"> (ДАЛЕЕ </w:t>
      </w:r>
      <w:r>
        <w:t xml:space="preserve">–</w:t>
      </w:r>
      <w:r>
        <w:t xml:space="preserve"> </w:t>
      </w:r>
      <w:r>
        <w:t xml:space="preserve">ТСЗАП</w:t>
      </w:r>
      <w:r>
        <w:t xml:space="preserve">). </w:t>
      </w:r>
      <w:r>
        <w:t xml:space="preserve">Настоящим вы признаете, подтверждаете и соглашаетесь со следующими положениями, касательно ТСЗАП</w:t>
      </w:r>
      <w:r>
        <w:t xml:space="preserve">: (</w:t>
      </w:r>
      <w:r>
        <w:t xml:space="preserve">1</w:t>
      </w:r>
      <w:r>
        <w:t xml:space="preserve">) </w:t>
      </w:r>
      <w:r>
        <w:t xml:space="preserve">установка Продукта также приведет к установке программного обеспечения ТСЗАП</w:t>
      </w:r>
      <w:r>
        <w:t xml:space="preserve"> </w:t>
      </w:r>
      <w:r>
        <w:t xml:space="preserve">на ваш компьютер</w:t>
      </w:r>
      <w:r>
        <w:t xml:space="preserve">; (</w:t>
      </w:r>
      <w:r>
        <w:t xml:space="preserve">2</w:t>
      </w:r>
      <w:r>
        <w:t xml:space="preserve">) </w:t>
      </w:r>
      <w:r>
        <w:t xml:space="preserve">программная защита авторских прав может ограничить количество установок Продукта</w:t>
      </w:r>
      <w:r>
        <w:t xml:space="preserve">; (</w:t>
      </w:r>
      <w:r>
        <w:t xml:space="preserve">3</w:t>
      </w:r>
      <w:r>
        <w:t xml:space="preserve">) </w:t>
      </w:r>
      <w:r>
        <w:t xml:space="preserve">ТСЗАП</w:t>
      </w:r>
      <w:r>
        <w:t xml:space="preserve"> </w:t>
      </w:r>
      <w:r>
        <w:t xml:space="preserve">может установить на ваш компьютер дополнительные компоненты, необходимые для защиты от копирования; а также (4) во время установки и/или первого запуска Продукта может понадобиться интернет-соединение для разблокировки продукта с помощью ТСЗАП</w:t>
      </w:r>
      <w:r>
        <w:t xml:space="preserve">. </w:t>
      </w:r>
      <w:r>
        <w:t xml:space="preserve">ПРАВООБЛАДАТЕЛЬ</w:t>
      </w:r>
      <w:r>
        <w:t xml:space="preserve"> </w:t>
      </w:r>
      <w:r>
        <w:t xml:space="preserve">ни в коем случае не несет ответственность за компоненты, которые могут быть установлены на </w:t>
      </w:r>
      <w:r>
        <w:t xml:space="preserve">ваш компьютер с помощью</w:t>
      </w:r>
      <w:r>
        <w:t xml:space="preserve"> </w:t>
      </w:r>
      <w:r>
        <w:t xml:space="preserve">ТСЗАП.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В Соглашении термин Совместимое мобильное устрой</w:t>
      </w:r>
      <w:r>
        <w:t xml:space="preserve">ство обозначает любое портативное устройство, способное подключиться к сети Интернет для получения доступа к Продуктам. Под Совместимыми мобильными устройствами понимаются, в частности, мобильные телефоны, смартфоны, планшеты и карманные компьютеры (КПК). </w:t>
      </w:r>
      <w:r>
        <w:t xml:space="preserve">Если Вы используете Продукт на Совместимом мобильном устройстве, настоящий </w:t>
      </w:r>
      <w:r>
        <w:t xml:space="preserve">пункт</w:t>
      </w:r>
      <w:r>
        <w:t xml:space="preserve"> </w:t>
      </w:r>
      <w:r>
        <w:t xml:space="preserve">2</w:t>
      </w:r>
      <w:r>
        <w:t xml:space="preserve">.2</w:t>
      </w:r>
      <w:r>
        <w:t xml:space="preserve">. Соглашения</w:t>
      </w:r>
      <w:r>
        <w:t xml:space="preserve"> касается Вас и использования Вами Продукта:</w:t>
      </w:r>
      <w:r/>
    </w:p>
    <w:p>
      <w:pPr>
        <w:numPr>
          <w:ilvl w:val="2"/>
          <w:numId w:val="4"/>
        </w:numPr>
        <w:ind w:left="1418" w:hanging="567"/>
        <w:jc w:val="both"/>
        <w:spacing w:line="360" w:lineRule="auto"/>
      </w:pPr>
      <w:r>
        <w:t xml:space="preserve">Доступ к Продукту. Чтобы использовать Продукт на Совместимом мобильном устройстве, Вам нужно иметь доступ к сети электронной связи. Расходы на услуги связи (включая, но не ограничиваясь, стоимость услуг провайдеров и/или операто</w:t>
      </w:r>
      <w:r>
        <w:t xml:space="preserve">ров мобильной связи) ложатся исключительно на Вас. Вы подтверждаете, что качество Продукта, время отклика или доступ к определенным компонентам может зависеть от технических характеристик Вашего Совместимого мобильного устройства и сети электронной связи. </w:t>
      </w:r>
      <w:r>
        <w:t xml:space="preserve">ПРАВООБЛАДАТЕЛЬ</w:t>
      </w:r>
      <w:r>
        <w:t xml:space="preserve"> ни при каких условиях не несет ответственность за снижение удобства для пользователя. Вы подтверждаете, что Продукт может не быть доступным для использования на всех мобильных устройствах, у всех провайдеров или операторов связи.</w:t>
      </w:r>
      <w:r/>
    </w:p>
    <w:p>
      <w:pPr>
        <w:numPr>
          <w:ilvl w:val="2"/>
          <w:numId w:val="4"/>
        </w:numPr>
        <w:ind w:left="1418" w:hanging="567"/>
        <w:jc w:val="both"/>
        <w:spacing w:line="360" w:lineRule="auto"/>
      </w:pPr>
      <w:r>
        <w:t xml:space="preserve">Сбор персональных данных.</w:t>
      </w:r>
      <w:r>
        <w:t xml:space="preserve"> Для предоставления Вам </w:t>
      </w:r>
      <w:r>
        <w:t xml:space="preserve">Продукта, а также технической</w:t>
      </w:r>
      <w:r>
        <w:t xml:space="preserve"> поддержки Продукта, </w:t>
      </w:r>
      <w:r>
        <w:t xml:space="preserve">ПРАВООБЛАДАТЕЛЬ</w:t>
      </w:r>
      <w:r>
        <w:t xml:space="preserve"> вправе собирать и хранить Ваши персональные данные, а также данные, связанные с использованием Вами Продукта, информацию о Вашем соединени</w:t>
      </w:r>
      <w:r>
        <w:t xml:space="preserve">и и (</w:t>
      </w:r>
      <w:r>
        <w:t xml:space="preserve">или</w:t>
      </w:r>
      <w:r>
        <w:t xml:space="preserve">)</w:t>
      </w:r>
      <w:r>
        <w:t xml:space="preserve"> Совместимом мобильном устройстве. Некоторые данные записываются, хранятся, анализируются и используются для создания пользовательской статистики. </w:t>
      </w:r>
      <w:r>
        <w:t xml:space="preserve">ПРАВООБЛАДАТЕЛЬ</w:t>
      </w:r>
      <w:r>
        <w:t xml:space="preserve"> уделяет большое внимание вопросам охраны Вашей частной жизни и обязуется не разглашать Ваши персональные данные третьим лицам, за исключением случаев, когда Вы прямо разрешили использовать их публично в отдельных ситуациях. </w:t>
      </w:r>
      <w:r>
        <w:t xml:space="preserve">ПРАВООБЛАДАТЕЛЬ</w:t>
      </w:r>
      <w:r>
        <w:t xml:space="preserve"> мо</w:t>
      </w:r>
      <w:r>
        <w:t xml:space="preserve">жет быть вынужден</w:t>
      </w:r>
      <w:r>
        <w:t xml:space="preserve"> раскрыть конфиденциальную информацию, относящуюся к Вам, в силу действия норм закона, для защиты прав </w:t>
      </w:r>
      <w:r>
        <w:t xml:space="preserve">ПРАВООБЛАДАТЕЛ</w:t>
      </w:r>
      <w:r>
        <w:t xml:space="preserve">Я</w:t>
      </w:r>
      <w:r>
        <w:t xml:space="preserve">, других пользователей или третьих лиц. Это включает обмен информацией с другими компаниями и организациями с целью защиты от мошенничества и снижения кредитных рисков</w:t>
      </w:r>
      <w:r>
        <w:t xml:space="preserve">, а также представления такой информации по запросам правоохранительных органов</w:t>
      </w:r>
      <w:r>
        <w:t xml:space="preserve">. Дополнительно, </w:t>
      </w:r>
      <w:r>
        <w:t xml:space="preserve">ПРАВООБЛАДАТЕЛЬ</w:t>
      </w:r>
      <w:r>
        <w:t xml:space="preserve"> сохраняет за собой право собирать, хранить и </w:t>
      </w:r>
      <w:r>
        <w:t xml:space="preserve">использовать</w:t>
      </w:r>
      <w:r>
        <w:t xml:space="preserve"> Ваши анонимные данные</w:t>
      </w:r>
      <w:r>
        <w:t xml:space="preserve">.</w:t>
      </w:r>
      <w:r>
        <w:t xml:space="preserve"> Используя Продукт Вы безоговорочно даете согласие на обработку Ваших персональных данных ПРАВООБЛАДАТЕЛЮ.</w:t>
      </w:r>
      <w:r/>
    </w:p>
    <w:p>
      <w:pPr>
        <w:jc w:val="both"/>
        <w:spacing w:line="360" w:lineRule="auto"/>
        <w:tabs>
          <w:tab w:val="left" w:pos="993" w:leader="none"/>
        </w:tabs>
      </w:pPr>
      <w:r/>
      <w:r/>
    </w:p>
    <w:p>
      <w:pPr>
        <w:numPr>
          <w:ilvl w:val="0"/>
          <w:numId w:val="4"/>
        </w:numPr>
        <w:ind w:left="426" w:hanging="426"/>
        <w:jc w:val="both"/>
        <w:spacing w:line="360" w:lineRule="auto"/>
        <w:rPr>
          <w:b/>
        </w:rPr>
      </w:pPr>
      <w:r>
        <w:rPr>
          <w:b/>
        </w:rPr>
        <w:t xml:space="preserve">ОГРАНИЧЕ</w:t>
      </w:r>
      <w:r>
        <w:rPr>
          <w:b/>
        </w:rPr>
        <w:t xml:space="preserve">НИЯ, СВЯЗАННЫЕ С</w:t>
      </w:r>
      <w:r>
        <w:rPr>
          <w:b/>
        </w:rPr>
        <w:t xml:space="preserve"> ПРОДУКТ</w:t>
      </w:r>
      <w:r>
        <w:rPr>
          <w:b/>
        </w:rPr>
        <w:t xml:space="preserve">ОМ НА ФИЗИЧЕСКОМ НОСИТЕЛЕ</w:t>
      </w:r>
      <w:r/>
    </w:p>
    <w:p>
      <w:pPr>
        <w:jc w:val="both"/>
        <w:spacing w:line="360" w:lineRule="auto"/>
        <w:tabs>
          <w:tab w:val="left" w:pos="993" w:leader="none"/>
        </w:tabs>
      </w:pPr>
      <w:r>
        <w:t xml:space="preserve">Если Вы приобрели Продукт на физическом носителе (CD</w:t>
      </w:r>
      <w:r>
        <w:t xml:space="preserve"> или DVD</w:t>
      </w:r>
      <w:r>
        <w:t xml:space="preserve">), </w:t>
      </w:r>
      <w:r>
        <w:t xml:space="preserve">то данный </w:t>
      </w:r>
      <w:r>
        <w:t xml:space="preserve">раздел </w:t>
      </w:r>
      <w:r>
        <w:t xml:space="preserve">Соглашения</w:t>
      </w:r>
      <w:r>
        <w:t xml:space="preserve"> касается Вас:</w:t>
      </w:r>
      <w:r/>
    </w:p>
    <w:p>
      <w:pPr>
        <w:jc w:val="both"/>
        <w:spacing w:line="360" w:lineRule="auto"/>
        <w:tabs>
          <w:tab w:val="left" w:pos="993" w:leader="none"/>
        </w:tabs>
      </w:pPr>
      <w:r/>
      <w:r/>
    </w:p>
    <w:p>
      <w:pPr>
        <w:ind w:left="993"/>
        <w:jc w:val="both"/>
        <w:spacing w:line="360" w:lineRule="auto"/>
      </w:pPr>
      <w:r>
        <w:t xml:space="preserve">ПРАВООБЛАДАТЕЛЬ</w:t>
      </w:r>
      <w:r>
        <w:t xml:space="preserve"> предоставляет гарантию на физический носитель, содержащий Продукт, на дефекты материала или производства в течение </w:t>
      </w:r>
      <w:r>
        <w:t xml:space="preserve">365 </w:t>
      </w:r>
      <w:r>
        <w:t xml:space="preserve">(</w:t>
      </w:r>
      <w:r>
        <w:t xml:space="preserve">триста шестьдесят пять</w:t>
      </w:r>
      <w:bookmarkStart w:id="0" w:name="_GoBack"/>
      <w:r/>
      <w:bookmarkEnd w:id="0"/>
      <w:r>
        <w:t xml:space="preserve">) дней со дня покупки Вами носителя. Если в носителе, содержащем Продукт в этот временной период будут обнаружены дефекты, </w:t>
      </w:r>
      <w:r>
        <w:t xml:space="preserve">ПРАВООБЛАДАТЕЛЬ</w:t>
      </w:r>
      <w:r>
        <w:t xml:space="preserve">, на свое усмотрение, бесплатно, (</w:t>
      </w:r>
      <w:r>
        <w:t xml:space="preserve">1</w:t>
      </w:r>
      <w:r>
        <w:t xml:space="preserve">) исправит любые дефекты, (</w:t>
      </w:r>
      <w:r>
        <w:t xml:space="preserve">2</w:t>
      </w:r>
      <w:r>
        <w:t xml:space="preserve">) заменит Продукт (</w:t>
      </w:r>
      <w:r>
        <w:t xml:space="preserve">3</w:t>
      </w:r>
      <w:r>
        <w:t xml:space="preserve">) предоставит аналогичный Продукт равной или большей стоимости (в случае, если Продукт более не производится или отсутствует в запасе </w:t>
      </w:r>
      <w:r>
        <w:t xml:space="preserve">ПРАВООБЛАДАТЕЛ</w:t>
      </w:r>
      <w:r>
        <w:t xml:space="preserve">Я</w:t>
      </w:r>
      <w:r>
        <w:t xml:space="preserve">) или (</w:t>
      </w:r>
      <w:r>
        <w:t xml:space="preserve">4</w:t>
      </w:r>
      <w:r>
        <w:t xml:space="preserve">) возместит Ваши затрат</w:t>
      </w:r>
      <w:r>
        <w:t xml:space="preserve">ы при предоставлении Вами письменных доказательств покупки бракованного носителя. ЕДИНЫЙ И ЭКСКЛЮЗИВНЫЙ ПОРЯДОК ИСПОЛНЕНИЯ ГАРАНТИЙНЫХ ОБЯЗАТЕЛЬСТВ ИЗЛОЖЕН В ДАННОМ РАЗДЕЛЕ. При возврате Продукта для гарантийной замены, пожалуйста, присылайте оригинальный </w:t>
      </w:r>
      <w:r>
        <w:t xml:space="preserve">CD</w:t>
      </w:r>
      <w:r>
        <w:t xml:space="preserve"> или DVD с Продуктом только в защитной упаковке и приложите также: (1) фотокопию Вашего чека с датой покупки; (2) Вашу </w:t>
      </w:r>
      <w:r>
        <w:t xml:space="preserve">фамилию и обратный адрес разборчиво и ясно написанные печатными буквами или отчетливо напечатанные; (3) краткое описание дефекта, проблемы (проблем), с которыми Вы столкнулись, и технических характеристик системы и оборудования, на которых Вы запускали Про</w:t>
      </w:r>
      <w:r>
        <w:t xml:space="preserve">дукт</w:t>
      </w:r>
      <w:r>
        <w:t xml:space="preserve">.</w:t>
      </w:r>
      <w:r/>
    </w:p>
    <w:p>
      <w:pPr>
        <w:jc w:val="both"/>
        <w:spacing w:line="360" w:lineRule="auto"/>
        <w:tabs>
          <w:tab w:val="left" w:pos="993" w:leader="none"/>
        </w:tabs>
      </w:pPr>
      <w:r/>
      <w:r/>
    </w:p>
    <w:p>
      <w:pPr>
        <w:numPr>
          <w:ilvl w:val="0"/>
          <w:numId w:val="4"/>
        </w:numPr>
        <w:ind w:left="426" w:hanging="426"/>
        <w:jc w:val="both"/>
        <w:spacing w:line="360" w:lineRule="auto"/>
        <w:rPr>
          <w:b/>
        </w:rPr>
      </w:pPr>
      <w:r>
        <w:rPr>
          <w:b/>
        </w:rPr>
        <w:t xml:space="preserve">ОГРАНИЧЕНИЕ ОТВЕТСТВЕННОСТИ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Вы прямо признаете, что используете Продукт на свой страх и риск. в пределах,</w:t>
      </w:r>
      <w:r>
        <w:t xml:space="preserve"> допустимых действующим законодательством РФ, Продукт предоставляется «как есть». ПРАВООБЛАДАТЕЛЬ, партнеры и поставщики сопутствующих услуг настоящим не предоставляют и не отклоняют каких-либо гарантий, условий и обязательств любого характера, выраженных </w:t>
      </w:r>
      <w:r>
        <w:t xml:space="preserve">прямо или косвенно, а также договорных обязательств, или иных условий, включая следующие: (1) его согласованности, точности, актуальности, полноты, надежности или безопасности (2) его пригодности для конкретного использования; (3) соблюдения гарантий прав </w:t>
      </w:r>
      <w:r>
        <w:t xml:space="preserve">собственности, их соблюдения; (4) его рыночной стоимости; или (5) вашей удовлетворенности. ПРАВООБЛАДАТЕЛЬ не гарантирует, что Продукт будет работать бесперебойно или без ошибок, что дефекты будут исправлены </w:t>
      </w:r>
      <w:r>
        <w:t xml:space="preserve">в ожидаемый вами срок, и что Продукт не содержит вирусов или других вредоносных компонентов. Вы несете всю ответственность за выбор Продукта для достижения желаемых вами результатов, а также за установку, использование и результаты, полученные от Продукта.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В пределах, допустимых действующим законодательством, ни пр</w:t>
      </w:r>
      <w:r>
        <w:t xml:space="preserve">и каких условиях Правообладатель, партнеры и поставщики сопутствующих услуг не несут ответственность за расходы или убытки, связанные с использованием Продукта или связанные с услугами третьих лиц. Это включает без ограничений (1) все убытки любого характе</w:t>
      </w:r>
      <w:r>
        <w:t xml:space="preserve">ра, понесенные по причине правонарушения (включая таковые в результате халатности или невыполнения договорных обязательств), согласно условий какого-либо договора или в результате ненадлежащего выполнения обязательств (непреднамеренного или по небрежности)</w:t>
      </w:r>
      <w:r>
        <w:t xml:space="preserve">,</w:t>
      </w:r>
      <w:r>
        <w:t xml:space="preserve"> или по другой причине, (</w:t>
      </w:r>
      <w:r>
        <w:t xml:space="preserve">2</w:t>
      </w:r>
      <w:r>
        <w:t xml:space="preserve">) прямые убытки; (</w:t>
      </w:r>
      <w:r>
        <w:t xml:space="preserve">3</w:t>
      </w:r>
      <w:r>
        <w:t xml:space="preserve">) убытки в результате аварии; (</w:t>
      </w:r>
      <w:r>
        <w:t xml:space="preserve">4</w:t>
      </w:r>
      <w:r>
        <w:t xml:space="preserve">) случайные убытки; (</w:t>
      </w:r>
      <w:r>
        <w:t xml:space="preserve">5</w:t>
      </w:r>
      <w:r>
        <w:t xml:space="preserve">) косвенные убытки.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Н</w:t>
      </w:r>
      <w:r>
        <w:t xml:space="preserve">есмотря на вышеупомянутые ограничения ответственности, единственным выходом в случае возникновения разногласий </w:t>
      </w:r>
      <w:r>
        <w:t xml:space="preserve">с</w:t>
      </w:r>
      <w:r>
        <w:t xml:space="preserve"> </w:t>
      </w:r>
      <w:r>
        <w:t xml:space="preserve">ПРАВООБЛАДАТЕЛЕМ</w:t>
      </w:r>
      <w:r>
        <w:t xml:space="preserve"> или </w:t>
      </w:r>
      <w:r>
        <w:t xml:space="preserve">его</w:t>
      </w:r>
      <w:r>
        <w:t xml:space="preserve"> партнерами</w:t>
      </w:r>
      <w:r>
        <w:t xml:space="preserve">,</w:t>
      </w:r>
      <w:r>
        <w:t xml:space="preserve"> или п</w:t>
      </w:r>
      <w:r>
        <w:t xml:space="preserve">оставщиками сопутствующих услуг</w:t>
      </w:r>
      <w:r>
        <w:t xml:space="preserve"> будет прекращение использования </w:t>
      </w:r>
      <w:r>
        <w:t xml:space="preserve">П</w:t>
      </w:r>
      <w:r>
        <w:t xml:space="preserve">родукта и, при возможности, обращение за возмещением ущерба. </w:t>
      </w:r>
      <w:r>
        <w:t xml:space="preserve">Д</w:t>
      </w:r>
      <w:r>
        <w:t xml:space="preserve">ля любого </w:t>
      </w:r>
      <w:r>
        <w:t xml:space="preserve">П</w:t>
      </w:r>
      <w:r>
        <w:t xml:space="preserve">родукта, приобретенного для использования на </w:t>
      </w:r>
      <w:r>
        <w:t xml:space="preserve">С</w:t>
      </w:r>
      <w:r>
        <w:t xml:space="preserve">овместимом мобильном устройстве, который не соответствует действующим законным гарантиям, ответственность </w:t>
      </w:r>
      <w:r>
        <w:t xml:space="preserve">ПРАВООБЛАДАТЕЛЯ </w:t>
      </w:r>
      <w:r>
        <w:t xml:space="preserve">ограничивается возмещением (прямо или косвенно через партнеров или поставщиков сопутствующих услуг) стоимости покупки </w:t>
      </w:r>
      <w:r>
        <w:t xml:space="preserve">П</w:t>
      </w:r>
      <w:r>
        <w:t xml:space="preserve">родукта. </w:t>
      </w:r>
      <w:r>
        <w:t xml:space="preserve">Н</w:t>
      </w:r>
      <w:r>
        <w:t xml:space="preserve">и при каких обстоятельствах </w:t>
      </w:r>
      <w:r>
        <w:t xml:space="preserve">ПРАВООБЛАДАТЕЛЬ</w:t>
      </w:r>
      <w:r>
        <w:t xml:space="preserve">, </w:t>
      </w:r>
      <w:r>
        <w:t xml:space="preserve">его</w:t>
      </w:r>
      <w:r>
        <w:t xml:space="preserve"> партнеры, поставщики сопутствующих услуг не несут перед вами ответственность за возмещение убытков в размере, превышающем сумму денежных средств, оплаченную вами </w:t>
      </w:r>
      <w:r>
        <w:t xml:space="preserve">ПРАВООБЛАДАТЕЛЮ</w:t>
      </w:r>
      <w:r>
        <w:t xml:space="preserve"> за использования </w:t>
      </w:r>
      <w:r>
        <w:t xml:space="preserve">П</w:t>
      </w:r>
      <w:r>
        <w:t xml:space="preserve">родукта в течение последних двенадцати (12) </w:t>
      </w:r>
      <w:r>
        <w:t xml:space="preserve">месяцев,</w:t>
      </w:r>
      <w:r>
        <w:t xml:space="preserve"> предшествующих моменту возникновения причины судебного спора.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Н</w:t>
      </w:r>
      <w:r>
        <w:t xml:space="preserve">ичего из и</w:t>
      </w:r>
      <w:r>
        <w:t xml:space="preserve">зложенного в настоящем разделе</w:t>
      </w:r>
      <w:r>
        <w:t xml:space="preserve"> не несет за собой ответственность </w:t>
      </w:r>
      <w:r>
        <w:t xml:space="preserve">ПРАВООБЛАДАТЕЛЯ </w:t>
      </w:r>
      <w:r>
        <w:t xml:space="preserve">за смерть или причинение вреда здоровью вследствие халатности со стороны </w:t>
      </w:r>
      <w:r>
        <w:t xml:space="preserve">ПРАВООБЛАДАТЕЛЯ</w:t>
      </w:r>
      <w:r>
        <w:t xml:space="preserve">, за мошенничество или намеренное введение в заблуждение, а также никакую другую ответственность, которая не может </w:t>
      </w:r>
      <w:r>
        <w:t xml:space="preserve">быть исключена или ограничена в рамках действующего законодательства.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согласно настоящему разделу </w:t>
      </w:r>
      <w:r>
        <w:t xml:space="preserve">ПРАВООБЛАДАТЕЛЬ</w:t>
      </w:r>
      <w:r>
        <w:t xml:space="preserve">, партнеры и поставщики сопутствующих услуг являются </w:t>
      </w:r>
      <w:r>
        <w:t xml:space="preserve">сторонними бенефициарами перечисленных выше ограничений ответственности,</w:t>
      </w:r>
      <w:r>
        <w:t xml:space="preserve"> и они могут использовать против вас в суде </w:t>
      </w:r>
      <w:r>
        <w:t xml:space="preserve">С</w:t>
      </w:r>
      <w:r>
        <w:t xml:space="preserve">оглашение.</w:t>
      </w:r>
      <w:r/>
    </w:p>
    <w:p>
      <w:pPr>
        <w:jc w:val="both"/>
        <w:spacing w:line="360" w:lineRule="auto"/>
        <w:tabs>
          <w:tab w:val="left" w:pos="993" w:leader="none"/>
        </w:tabs>
      </w:pPr>
      <w:r/>
      <w:r/>
    </w:p>
    <w:p>
      <w:pPr>
        <w:numPr>
          <w:ilvl w:val="0"/>
          <w:numId w:val="4"/>
        </w:numPr>
        <w:ind w:left="426" w:hanging="426"/>
        <w:jc w:val="both"/>
        <w:spacing w:line="360" w:lineRule="auto"/>
      </w:pPr>
      <w:r>
        <w:rPr>
          <w:b/>
        </w:rPr>
        <w:t xml:space="preserve">ВОЗМЕЩЕНИЕ УБЫТКОВ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Вы единолично несете всю ответственность за любой ущерб, причиненный </w:t>
      </w:r>
      <w:r>
        <w:t xml:space="preserve">ПРАВООБЛАДАТЕЛЮ его</w:t>
      </w:r>
      <w:r>
        <w:t xml:space="preserve"> партнерам, поставщикам сопутствующих услуг и субподрядчикам, другим пользователям </w:t>
      </w:r>
      <w:r>
        <w:t xml:space="preserve">П</w:t>
      </w:r>
      <w:r>
        <w:t xml:space="preserve">родукта или любым </w:t>
      </w:r>
      <w:r>
        <w:t xml:space="preserve">физическим,</w:t>
      </w:r>
      <w:r>
        <w:t xml:space="preserve"> или юридическим лицам в результате нарушения Вами </w:t>
      </w:r>
      <w:r>
        <w:t xml:space="preserve">С</w:t>
      </w:r>
      <w:r>
        <w:t xml:space="preserve">оглашения.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Настоящим вы обязуетесь защищат</w:t>
      </w:r>
      <w:r>
        <w:t xml:space="preserve">ь в суде, нести ответственность за возмещение ущерба и возмещать убытки, возникшие у ПРАВООБЛАДАТЕЛЯ и дочерних компаний, его партнеров и поставщиков сопутствующих услуг и их субподрядчиков вследствие любых жалоб или исков о привлечении к ответственности, </w:t>
      </w:r>
      <w:r>
        <w:t xml:space="preserve">возмещении ущерба и прочих убытков (включая гонорары юристов и иных представителей), прямо или косвенно связанные с вашей виной и/или произошедшие вследствие: (1) нарушения любого условия Соглашения или (2) использования или злоупотребления вами Продуктом.</w:t>
      </w:r>
      <w:r>
        <w:t xml:space="preserve"> </w:t>
      </w:r>
      <w:r>
        <w:t xml:space="preserve">ПРАВООБЛАДАТЕЛЬ</w:t>
      </w:r>
      <w:r>
        <w:t xml:space="preserve"> оставляет за собой право принять полную ответственность за осуществление защиты </w:t>
      </w:r>
      <w:r>
        <w:t xml:space="preserve">за </w:t>
      </w:r>
      <w:r>
        <w:t xml:space="preserve">свой счет от любых исков, которые </w:t>
      </w:r>
      <w:r>
        <w:t xml:space="preserve">в</w:t>
      </w:r>
      <w:r>
        <w:t xml:space="preserve">ы согласились </w:t>
      </w:r>
      <w:r>
        <w:t xml:space="preserve">в</w:t>
      </w:r>
      <w:r>
        <w:t xml:space="preserve">озместить </w:t>
      </w:r>
      <w:r>
        <w:t xml:space="preserve">ПРАВООБЛАДАТЕЛ</w:t>
      </w:r>
      <w:r>
        <w:t xml:space="preserve">Ю. Положения настоящего раздела</w:t>
      </w:r>
      <w:r>
        <w:t xml:space="preserve"> останутся в силе после прекращения действия </w:t>
      </w:r>
      <w:r>
        <w:t xml:space="preserve">С</w:t>
      </w:r>
      <w:r>
        <w:t xml:space="preserve">оглашения.</w:t>
      </w:r>
      <w:r/>
    </w:p>
    <w:p>
      <w:pPr>
        <w:jc w:val="both"/>
        <w:spacing w:line="360" w:lineRule="auto"/>
        <w:tabs>
          <w:tab w:val="left" w:pos="993" w:leader="none"/>
        </w:tabs>
      </w:pPr>
      <w:r/>
      <w:r/>
    </w:p>
    <w:p>
      <w:pPr>
        <w:numPr>
          <w:ilvl w:val="0"/>
          <w:numId w:val="4"/>
        </w:numPr>
        <w:ind w:left="284" w:hanging="284"/>
        <w:jc w:val="both"/>
        <w:spacing w:line="360" w:lineRule="auto"/>
        <w:rPr>
          <w:b/>
        </w:rPr>
      </w:pPr>
      <w:r>
        <w:rPr>
          <w:b/>
        </w:rPr>
        <w:t xml:space="preserve">РАСТОРЖЕНИЕ СОГЛАШЕНИЯ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С</w:t>
      </w:r>
      <w:r>
        <w:t xml:space="preserve">оглашение действует с самой ранней даты покупки, загрузки или использования Вами Продукта, до его прекращения в соответствии с его условиями. Вы и </w:t>
      </w:r>
      <w:r>
        <w:t xml:space="preserve">ПРАВООБЛАДАТЕЛЬ</w:t>
      </w:r>
      <w:r>
        <w:t xml:space="preserve"> </w:t>
      </w:r>
      <w:r>
        <w:t xml:space="preserve">можете прекратить действие </w:t>
      </w:r>
      <w:r>
        <w:t xml:space="preserve">С</w:t>
      </w:r>
      <w:r>
        <w:t xml:space="preserve">оглашения в любой момент по любым причинам. 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Прекращение действия Соглашения </w:t>
      </w:r>
      <w:r>
        <w:t xml:space="preserve">ПРАВООБЛАДАТЕЛ</w:t>
      </w:r>
      <w:r>
        <w:t xml:space="preserve">ЕМ</w:t>
      </w:r>
      <w:r>
        <w:t xml:space="preserve"> вступит в силу после (</w:t>
      </w:r>
      <w:r>
        <w:t xml:space="preserve">1</w:t>
      </w:r>
      <w:r>
        <w:t xml:space="preserve">) уведомления Вас или (</w:t>
      </w:r>
      <w:r>
        <w:t xml:space="preserve">2</w:t>
      </w:r>
      <w:r>
        <w:t xml:space="preserve">) закрытия </w:t>
      </w:r>
      <w:r>
        <w:t xml:space="preserve">вашего аккаунта </w:t>
      </w:r>
      <w:r>
        <w:t xml:space="preserve">(при наличии такового) или (</w:t>
      </w:r>
      <w:r>
        <w:t xml:space="preserve">3</w:t>
      </w:r>
      <w:r>
        <w:t xml:space="preserve">) в </w:t>
      </w:r>
      <w:r>
        <w:t xml:space="preserve">момент принятия решения </w:t>
      </w:r>
      <w:r>
        <w:t xml:space="preserve">ПРАВООБЛАДАТЕЛ</w:t>
      </w:r>
      <w:r>
        <w:t xml:space="preserve">Я</w:t>
      </w:r>
      <w:r>
        <w:t xml:space="preserve"> о прекращении действия </w:t>
      </w:r>
      <w:r>
        <w:t xml:space="preserve">Соглашения</w:t>
      </w:r>
      <w:r>
        <w:t xml:space="preserve"> и</w:t>
      </w:r>
      <w:r>
        <w:t xml:space="preserve"> (</w:t>
      </w:r>
      <w:r>
        <w:t xml:space="preserve">или</w:t>
      </w:r>
      <w:r>
        <w:t xml:space="preserve">)</w:t>
      </w:r>
      <w:r>
        <w:t xml:space="preserve"> поддержки Продукта. 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С</w:t>
      </w:r>
      <w:r>
        <w:t xml:space="preserve">оглашение будет аннулировано автоматически, если Вы нарушите любое из </w:t>
      </w:r>
      <w:r>
        <w:t xml:space="preserve">его </w:t>
      </w:r>
      <w:r>
        <w:t xml:space="preserve">условий. По окончании действия Соглашения по </w:t>
      </w:r>
      <w:r>
        <w:t xml:space="preserve">любой</w:t>
      </w:r>
      <w:r>
        <w:t xml:space="preserve"> причине Вы должны немедленно удалить Продукт и уничтожить все имеющиеся у Вас копии Продукта.</w:t>
      </w:r>
      <w:r/>
    </w:p>
    <w:p>
      <w:pPr>
        <w:jc w:val="both"/>
        <w:spacing w:line="360" w:lineRule="auto"/>
        <w:tabs>
          <w:tab w:val="left" w:pos="993" w:leader="none"/>
        </w:tabs>
      </w:pPr>
      <w:r/>
      <w:r/>
    </w:p>
    <w:p>
      <w:pPr>
        <w:numPr>
          <w:ilvl w:val="0"/>
          <w:numId w:val="4"/>
        </w:numPr>
        <w:ind w:left="284" w:hanging="284"/>
        <w:jc w:val="both"/>
        <w:spacing w:line="360" w:lineRule="auto"/>
        <w:rPr>
          <w:b/>
        </w:rPr>
      </w:pPr>
      <w:r>
        <w:rPr>
          <w:b/>
        </w:rPr>
        <w:t xml:space="preserve">ИЗМЕНЕНИЯ </w:t>
      </w:r>
      <w:r>
        <w:rPr>
          <w:b/>
        </w:rPr>
        <w:t xml:space="preserve">СОГЛАШЕНИЯ ИЛИ ПРОДУКТА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ПРАВООБЛАДАТЕЛЬ</w:t>
      </w:r>
      <w:r>
        <w:t xml:space="preserve"> оставляет за собой право по своему собственному усмотрению пересматривать, обновлять, изменять, модифицировать, добавлять, дополнять или удалять определенные условия </w:t>
      </w:r>
      <w:r>
        <w:t xml:space="preserve">С</w:t>
      </w:r>
      <w:r>
        <w:t xml:space="preserve">оглашения в целях лучшей безопасности, обеспечения защиты, по юридическим или нормативным причинам. Такие изменения будут действительны с, или, в зависимости от условий, без Вашего предварительного уведомления. Вы можете просмотреть последнюю версию </w:t>
      </w:r>
      <w:r>
        <w:t xml:space="preserve">Соглашения, кликнув на ссылку</w:t>
      </w:r>
      <w:r>
        <w:t xml:space="preserve">, расположенную на Продукте или на сайте </w:t>
      </w:r>
      <w:r>
        <w:t xml:space="preserve">ПРАВООБЛАДАТЕЛЯ</w:t>
      </w:r>
      <w:r>
        <w:t xml:space="preserve">. 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Вы должны периодически </w:t>
      </w:r>
      <w:r>
        <w:t xml:space="preserve">самостоятельно </w:t>
      </w:r>
      <w:r>
        <w:t xml:space="preserve">проверять наличие изменений в </w:t>
      </w:r>
      <w:r>
        <w:t xml:space="preserve">С</w:t>
      </w:r>
      <w:r>
        <w:t xml:space="preserve">оглашении. Если любые будущие изменения </w:t>
      </w:r>
      <w:r>
        <w:t xml:space="preserve">С</w:t>
      </w:r>
      <w:r>
        <w:t xml:space="preserve">оглашения неприемлемы для Вас или обусловят для вас невозможность соблюдать </w:t>
      </w:r>
      <w:r>
        <w:t xml:space="preserve">С</w:t>
      </w:r>
      <w:r>
        <w:t xml:space="preserve">оглашение, Вы можете прекратить его действие в соответствии с </w:t>
      </w:r>
      <w:r>
        <w:t xml:space="preserve">р</w:t>
      </w:r>
      <w:r>
        <w:t xml:space="preserve">азделом </w:t>
      </w:r>
      <w:r>
        <w:t xml:space="preserve">6</w:t>
      </w:r>
      <w:r>
        <w:t xml:space="preserve"> и должны немедленно удалить Продукт и все его копии. Продолжая пользоваться Продуктом после любого пересмотра </w:t>
      </w:r>
      <w:r>
        <w:t xml:space="preserve">С</w:t>
      </w:r>
      <w:r>
        <w:t xml:space="preserve">оглашения, Вы подтверждаете Ваше полное безотзывное согласие со всеми и каждым изменением.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ПРАВООБЛАДАТЕЛЬ</w:t>
      </w:r>
      <w:r>
        <w:t xml:space="preserve"> может в любой момент на свое усмотрение модифицировать </w:t>
      </w:r>
      <w:r>
        <w:t xml:space="preserve">П</w:t>
      </w:r>
      <w:r>
        <w:t xml:space="preserve">родукт по любой причине или без определенной причины, например, по техническим причинам, таким, как обновление, техническое обслуживание и/или перезагрузка для улучшения и/или оптимизации Продукта. 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Вы соглашаетесь с тем, что Продукт может автоматически устанавливать или загружать модификации. Вы соглашаетесь с тем, что </w:t>
      </w:r>
      <w:r>
        <w:t xml:space="preserve">ПРАВООБЛАДАТЕЛЬ</w:t>
      </w:r>
      <w:r>
        <w:t xml:space="preserve"> может прекратить поддерживать предыдущие версии Продукта при доступности обновленной версии. Партнеры </w:t>
      </w:r>
      <w:r>
        <w:t xml:space="preserve">ПРАВООБЛАДАТЕЛ</w:t>
      </w:r>
      <w:r>
        <w:t xml:space="preserve">Я</w:t>
      </w:r>
      <w:r>
        <w:t xml:space="preserve"> и поставщики связанных с ними услуг не несут никаких обязательств по предоставлению обслуживания или поддержки пользователей по отношению к Продукту.</w:t>
      </w:r>
      <w:r/>
    </w:p>
    <w:p>
      <w:pPr>
        <w:jc w:val="both"/>
        <w:spacing w:line="360" w:lineRule="auto"/>
        <w:tabs>
          <w:tab w:val="left" w:pos="993" w:leader="none"/>
        </w:tabs>
      </w:pPr>
      <w:r/>
      <w:r/>
    </w:p>
    <w:p>
      <w:pPr>
        <w:numPr>
          <w:ilvl w:val="0"/>
          <w:numId w:val="4"/>
        </w:numPr>
        <w:ind w:left="284" w:hanging="284"/>
        <w:jc w:val="both"/>
        <w:spacing w:line="360" w:lineRule="auto"/>
        <w:rPr>
          <w:b/>
        </w:rPr>
      </w:pPr>
      <w:r>
        <w:rPr>
          <w:b/>
        </w:rPr>
        <w:t xml:space="preserve">ЗАКЛЮЧИТЕЛЬНЫЕ ПОЛОЖЕНИЯ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В случае признания судом или другим компетентным юридическим органом какого-либо пункта </w:t>
      </w:r>
      <w:r>
        <w:t xml:space="preserve">С</w:t>
      </w:r>
      <w:r>
        <w:t xml:space="preserve">оглашения недействительным, незаконным или неисполнимым, этот пункт или его часть должны бы</w:t>
      </w:r>
      <w:r>
        <w:t xml:space="preserve">ть удалены в необходимом объеме, при этом</w:t>
      </w:r>
      <w:r>
        <w:t xml:space="preserve"> действенность и законность остальных частей </w:t>
      </w:r>
      <w:r>
        <w:t xml:space="preserve">С</w:t>
      </w:r>
      <w:r>
        <w:t xml:space="preserve">оглашения сохраняет свою полную силу. Если какой-либо недействительный, неисполнимый или незаконный пункт </w:t>
      </w:r>
      <w:r>
        <w:t xml:space="preserve">С</w:t>
      </w:r>
      <w:r>
        <w:t xml:space="preserve">оглашения может стать действительным, исполнимым и законным при удалении </w:t>
      </w:r>
      <w:r>
        <w:t xml:space="preserve">определенных фрагментов, требуется применить минимальные модификации для придания ему законности, действительности и исполнимости для отражения изначальных намерений </w:t>
      </w:r>
      <w:r>
        <w:t xml:space="preserve">ПРАВООБЛАДАТЕЛ</w:t>
      </w:r>
      <w:r>
        <w:t xml:space="preserve">Я</w:t>
      </w:r>
      <w:r>
        <w:t xml:space="preserve">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Невыполнение или задержка в осуществлении </w:t>
      </w:r>
      <w:r>
        <w:t xml:space="preserve">ПРАВООБЛАДАТЕЛ</w:t>
      </w:r>
      <w:r>
        <w:t xml:space="preserve">ЕМ</w:t>
      </w:r>
      <w:r>
        <w:t xml:space="preserve"> каких-либо прав или правовой защиты, предоставленных </w:t>
      </w:r>
      <w:r>
        <w:t xml:space="preserve">С</w:t>
      </w:r>
      <w:r>
        <w:t xml:space="preserve">оглашением или согласно </w:t>
      </w:r>
      <w:r>
        <w:t xml:space="preserve">закону,</w:t>
      </w:r>
      <w:r>
        <w:t xml:space="preserve"> не должно означать отказ от этого или любого другого права или средства защиты, а также не исключать и не ограничивать дальнейшее осуществление этого или любого другого права или средства защиты. Однократное или частичное осуществление та</w:t>
      </w:r>
      <w:r>
        <w:t xml:space="preserve">кого права или средства защиты не исключает и не ограничивает дальнейшее осуществление этого или любого другого права или средства защиты. Отказ от права или средства защиты можно считать имевшим место только после подписания письменного заявления об этом </w:t>
      </w:r>
      <w:r>
        <w:t xml:space="preserve">ПРАВООБЛАДАТЕЛ</w:t>
      </w:r>
      <w:r>
        <w:t xml:space="preserve">ЕМ</w:t>
      </w:r>
      <w:r>
        <w:t xml:space="preserve"> или Пользователем.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С</w:t>
      </w:r>
      <w:r>
        <w:t xml:space="preserve">оглашение регулируется законодательством Р</w:t>
      </w:r>
      <w:r>
        <w:t xml:space="preserve">Ф</w:t>
      </w:r>
      <w:r>
        <w:t xml:space="preserve">, б</w:t>
      </w:r>
      <w:r>
        <w:t xml:space="preserve">ез применения коллизионных норм. </w:t>
      </w:r>
      <w:r>
        <w:t xml:space="preserve">Вы прямо признаете юрисдикцию арбитражных судов и судов общей юрисдикции (в зависимости от обстоятельств), расположенных в Р</w:t>
      </w:r>
      <w:r>
        <w:t xml:space="preserve">Ф</w:t>
      </w:r>
      <w:r>
        <w:t xml:space="preserve">, для разрешения любых претензий или споров с </w:t>
      </w:r>
      <w:r>
        <w:t xml:space="preserve">ПРАВООБЛАДАТЕЛЬ</w:t>
      </w:r>
      <w:r>
        <w:t xml:space="preserve">, возникающих или связанных каким-либо образом с </w:t>
      </w:r>
      <w:r>
        <w:t xml:space="preserve">С</w:t>
      </w:r>
      <w:r>
        <w:t xml:space="preserve">оглашением.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Любой спор, вытекающий из Соглашения и (или) в связи с использованием Продукта подлежит рассмотрению в соответствующем суде по месту нахождения ПРАВООБЛАДАТЕЛЯ.</w:t>
      </w:r>
      <w:r/>
    </w:p>
    <w:p>
      <w:pPr>
        <w:numPr>
          <w:ilvl w:val="1"/>
          <w:numId w:val="4"/>
        </w:numPr>
        <w:jc w:val="both"/>
        <w:spacing w:line="360" w:lineRule="auto"/>
      </w:pPr>
      <w:r>
        <w:t xml:space="preserve">Согла</w:t>
      </w:r>
      <w:r>
        <w:t xml:space="preserve">шение составлено на русском языке. Настоящим вы подтверждаете, что текст соглашения вам понятен и в переводе вы не нуждаетесь. В обратном случае вы обязуетесь перевести Соглашение на нужный вам язык своими силами и за свой счет перед началом использования </w:t>
      </w:r>
      <w:r>
        <w:t xml:space="preserve">Продукта. Ответственность за неисполнение настоящего обязательства по переводу Соглашения целиком и полностью лежит на Пользователе.</w:t>
      </w:r>
      <w:r/>
    </w:p>
    <w:sectPr>
      <w:footerReference w:type="even" r:id="rId9"/>
      <w:footnotePr/>
      <w:endnotePr/>
      <w:type w:val="nextPage"/>
      <w:pgSz w:w="11906" w:h="16838" w:orient="portrait"/>
      <w:pgMar w:top="1134" w:right="850" w:bottom="1134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  <w:endnote w:type="continuationNotice" w:id="1"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Mangal">
    <w:panose1 w:val="02020603050405020304"/>
  </w:font>
  <w:font w:name="SimSun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  <w:rPr>
        <w:rStyle w:val="686"/>
      </w:rPr>
      <w:framePr w:wrap="around" w:vAnchor="text" w:hAnchor="margin" w:xAlign="right" w:y="1"/>
    </w:pPr>
    <w:r>
      <w:rPr>
        <w:rStyle w:val="686"/>
      </w:rPr>
      <w:fldChar w:fldCharType="begin"/>
    </w:r>
    <w:r>
      <w:rPr>
        <w:rStyle w:val="686"/>
      </w:rPr>
      <w:instrText xml:space="preserve">PAGE  </w:instrText>
    </w:r>
    <w:r>
      <w:rPr>
        <w:rStyle w:val="686"/>
      </w:rPr>
      <w:fldChar w:fldCharType="end"/>
    </w:r>
    <w:r/>
  </w:p>
  <w:p>
    <w:pPr>
      <w:pStyle w:val="68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type="continuationNotice" w:id="1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  <w:footnote w:id="1"/>
  </w:footnotePr>
  <w:endnotePr>
    <w:pos w:val="docEnd"/>
    <w:numFmt w:val="lowerRoman"/>
    <w:numStart w:val="1"/>
    <w:numRestart w:val="continuous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9"/>
    <w:next w:val="67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8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9"/>
    <w:next w:val="67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9"/>
    <w:next w:val="67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9"/>
    <w:next w:val="67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9"/>
    <w:next w:val="67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9"/>
    <w:next w:val="67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9"/>
    <w:next w:val="67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9"/>
    <w:next w:val="67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9"/>
    <w:next w:val="67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9"/>
    <w:next w:val="67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0"/>
    <w:link w:val="32"/>
    <w:uiPriority w:val="10"/>
    <w:rPr>
      <w:sz w:val="48"/>
      <w:szCs w:val="48"/>
    </w:rPr>
  </w:style>
  <w:style w:type="paragraph" w:styleId="34">
    <w:name w:val="Subtitle"/>
    <w:basedOn w:val="679"/>
    <w:next w:val="67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0"/>
    <w:link w:val="34"/>
    <w:uiPriority w:val="11"/>
    <w:rPr>
      <w:sz w:val="24"/>
      <w:szCs w:val="24"/>
    </w:rPr>
  </w:style>
  <w:style w:type="paragraph" w:styleId="36">
    <w:name w:val="Quote"/>
    <w:basedOn w:val="679"/>
    <w:next w:val="67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9"/>
    <w:next w:val="67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0"/>
    <w:link w:val="687"/>
    <w:uiPriority w:val="99"/>
  </w:style>
  <w:style w:type="character" w:styleId="43">
    <w:name w:val="Footer Char"/>
    <w:basedOn w:val="680"/>
    <w:link w:val="683"/>
    <w:uiPriority w:val="99"/>
  </w:style>
  <w:style w:type="paragraph" w:styleId="44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3"/>
    <w:uiPriority w:val="99"/>
  </w:style>
  <w:style w:type="table" w:styleId="46">
    <w:name w:val="Table Grid"/>
    <w:basedOn w:val="68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0"/>
    <w:uiPriority w:val="99"/>
    <w:unhideWhenUsed/>
    <w:rPr>
      <w:vertAlign w:val="superscript"/>
    </w:rPr>
  </w:style>
  <w:style w:type="paragraph" w:styleId="176">
    <w:name w:val="endnote text"/>
    <w:basedOn w:val="67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0"/>
    <w:uiPriority w:val="99"/>
    <w:semiHidden/>
    <w:unhideWhenUsed/>
    <w:rPr>
      <w:vertAlign w:val="superscript"/>
    </w:rPr>
  </w:style>
  <w:style w:type="paragraph" w:styleId="179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  <w:pPr>
      <w:widowControl w:val="off"/>
    </w:pPr>
    <w:rPr>
      <w:rFonts w:eastAsia="SimSun"/>
      <w:sz w:val="24"/>
      <w:szCs w:val="24"/>
      <w:lang w:bidi="hi-IN" w:eastAsia="hi-IN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>
    <w:name w:val="Footer"/>
    <w:basedOn w:val="679"/>
    <w:link w:val="684"/>
    <w:pPr>
      <w:tabs>
        <w:tab w:val="center" w:pos="4677" w:leader="none"/>
        <w:tab w:val="right" w:pos="9355" w:leader="none"/>
      </w:tabs>
    </w:pPr>
    <w:rPr>
      <w:rFonts w:cs="Mangal"/>
      <w:szCs w:val="21"/>
    </w:rPr>
  </w:style>
  <w:style w:type="character" w:styleId="684" w:customStyle="1">
    <w:name w:val="Нижний колонтитул Знак"/>
    <w:link w:val="683"/>
    <w:rPr>
      <w:rFonts w:cs="Mangal" w:eastAsia="SimSun"/>
      <w:sz w:val="24"/>
      <w:szCs w:val="21"/>
      <w:lang w:val="ru-RU" w:bidi="hi-IN" w:eastAsia="hi-IN"/>
    </w:rPr>
  </w:style>
  <w:style w:type="paragraph" w:styleId="685">
    <w:name w:val="Normal (Web)"/>
    <w:basedOn w:val="679"/>
    <w:pPr>
      <w:spacing w:before="100" w:beforeAutospacing="1" w:after="100" w:afterAutospacing="1"/>
      <w:widowControl/>
    </w:pPr>
    <w:rPr>
      <w:rFonts w:eastAsia="Times New Roman"/>
      <w:lang w:bidi="ar-SA" w:eastAsia="ru-RU"/>
    </w:rPr>
  </w:style>
  <w:style w:type="character" w:styleId="686">
    <w:name w:val="page number"/>
    <w:rPr>
      <w:rFonts w:cs="Times New Roman"/>
    </w:rPr>
  </w:style>
  <w:style w:type="paragraph" w:styleId="687">
    <w:name w:val="Header"/>
    <w:basedOn w:val="679"/>
    <w:pPr>
      <w:tabs>
        <w:tab w:val="center" w:pos="4677" w:leader="none"/>
        <w:tab w:val="right" w:pos="9355" w:leader="none"/>
      </w:tabs>
    </w:pPr>
  </w:style>
  <w:style w:type="character" w:styleId="688" w:customStyle="1">
    <w:name w:val="x_normaltextrun"/>
    <w:basedOn w:val="680"/>
  </w:style>
  <w:style w:type="paragraph" w:styleId="689">
    <w:name w:val="Balloon Text"/>
    <w:basedOn w:val="679"/>
    <w:link w:val="690"/>
    <w:rPr>
      <w:rFonts w:ascii="Segoe UI" w:hAnsi="Segoe UI" w:cs="Mangal"/>
      <w:sz w:val="18"/>
      <w:szCs w:val="16"/>
    </w:rPr>
  </w:style>
  <w:style w:type="character" w:styleId="690" w:customStyle="1">
    <w:name w:val="Текст выноски Знак"/>
    <w:link w:val="689"/>
    <w:rPr>
      <w:rFonts w:ascii="Segoe UI" w:hAnsi="Segoe UI" w:cs="Mangal" w:eastAsia="SimSun"/>
      <w:sz w:val="18"/>
      <w:szCs w:val="16"/>
      <w:lang w:bidi="hi-IN" w:eastAsia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B2D47FF7-C279-46DF-9413-94DEA8DFD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222FF-5ECF-4DCB-8719-B107710BD3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C59D74-EA61-46A5-9DD1-E7CD09BE495F}">
  <ds:schemaRefs>
    <ds:schemaRef ds:uri="http://schemas.microsoft.com/office/2006/metadata/properties"/>
    <ds:schemaRef ds:uri="http://schemas.microsoft.com/office/infopath/2007/PartnerControls"/>
    <ds:schemaRef ds:uri="9b8f2d6e-ade6-4a62-afc0-5e28957518c6"/>
  </ds:schemaRefs>
</ds:datastoreItem>
</file>

<file path=customXml/itemProps4.xml><?xml version="1.0" encoding="utf-8"?>
<ds:datastoreItem xmlns:ds="http://schemas.openxmlformats.org/officeDocument/2006/customXml" ds:itemID="{C17401A7-2845-4F1A-A764-780FF96BF56D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Belka1</dc:creator>
  <cp:keywords/>
  <cp:lastModifiedBy>Алексей Багров</cp:lastModifiedBy>
  <cp:revision>3</cp:revision>
  <dcterms:created xsi:type="dcterms:W3CDTF">2021-07-05T15:02:00Z</dcterms:created>
  <dcterms:modified xsi:type="dcterms:W3CDTF">2022-09-05T12:24:33Z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Сергей Ребрушкин</vt:lpwstr>
  </property>
  <property fmtid="{D5CDD505-2E9C-101B-9397-08002B2CF9AE}" pid="4" name="Order">
    <vt:lpwstr>862900.000000000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Ольга Миронова</vt:lpwstr>
  </property>
  <property fmtid="{D5CDD505-2E9C-101B-9397-08002B2CF9AE}" pid="10" name="ContentTypeId">
    <vt:lpwstr>0x010100708170379A857C429862AF653EA4874D</vt:lpwstr>
  </property>
</Properties>
</file>